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F7A9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Назначение</w:t>
      </w:r>
      <w:bookmarkStart w:id="0" w:name="_GoBack"/>
      <w:bookmarkEnd w:id="0"/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:</w:t>
      </w:r>
    </w:p>
    <w:p w14:paraId="3535E6BC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6FE19A0D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Трап предназначен для установки во внутренних помещениях и отвода в канализацию сточных вод с уровня пола и гидроизоляции.</w:t>
      </w:r>
    </w:p>
    <w:p w14:paraId="3CDFEA2C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752760CA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Описание:</w:t>
      </w:r>
    </w:p>
    <w:p w14:paraId="02B9182D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11E13451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Трап с горизонтальным выпуском DN40/50, корпусом с гидроизоляционным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полимербитумным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полотном, с надставным элементом из ПП, с подрамником и круглой решеткой из нержавеющей стали, и сифоном с гидрозатвором высотой 50 мм.</w:t>
      </w:r>
    </w:p>
    <w:p w14:paraId="07A0C33A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3D6E2A3D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Комплектация:</w:t>
      </w:r>
    </w:p>
    <w:p w14:paraId="46573968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1B421D0E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1. Корпус трапа из ПЭ с фартуком из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полимербитумного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полотна Ø420 мм, и горизонтальным выпуском DN40/50.</w:t>
      </w:r>
    </w:p>
    <w:p w14:paraId="5261667F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2. Плоский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листвоуловитель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HL181.</w:t>
      </w:r>
    </w:p>
    <w:p w14:paraId="7DA5E9C1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3. Надставной элемент из ПП, с подрамником из нержавеющей стали Ø132 мм, с сифоном из ПП.</w:t>
      </w:r>
    </w:p>
    <w:p w14:paraId="61058639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4. Решетка Ø112 мм из нержавеющей стали.</w:t>
      </w:r>
    </w:p>
    <w:p w14:paraId="2BFB3550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5F391A86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Технические характеристики:</w:t>
      </w:r>
    </w:p>
    <w:p w14:paraId="2CBB6611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2C47566B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Присоединительные размеры - DN40/50</w:t>
      </w:r>
    </w:p>
    <w:p w14:paraId="47CB2235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Пропускная способность - 0,55 л/с</w:t>
      </w:r>
    </w:p>
    <w:p w14:paraId="56EC3534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Вес - 1 791 г </w:t>
      </w:r>
    </w:p>
    <w:p w14:paraId="3EC1DF96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Максимальная разрешенная нагрузка - до 300 кг.</w:t>
      </w:r>
    </w:p>
    <w:p w14:paraId="2EAB5336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Температура отводимой жидкости - до 85ºС(*)</w:t>
      </w:r>
    </w:p>
    <w:p w14:paraId="7DA410A9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Срок службы - не менее 50 лет</w:t>
      </w:r>
    </w:p>
    <w:p w14:paraId="1A201FA1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5D6A1D42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(*) Трап HL510NHR позволяет отводить в канализацию стоки с температурой до 100ºС,  при условии, что её воздействие имеет кратковременный характер (100-200 литров жидкости с температурой не более 100ºС). Повышение температуры сливаемой жидкости до 100°С не влияет на пропускную способность трапа и его работоспособность, так как основной рабочий элемент трапа – сифон выполнен из полипропилена (рабочая температура которого не должна превышать 100°С). В этом случае снижается только максимально допустимая нагрузка на трап (так как корпус трапа исполняет роль несущего силового элемента), она не должна превышать 150 кг.</w:t>
      </w:r>
    </w:p>
    <w:p w14:paraId="4AF1488A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2578AEA0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Особенности монтажа:</w:t>
      </w:r>
    </w:p>
    <w:p w14:paraId="21CFF775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42551A59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1. Корпус трапа устанавливается на несущую конструкцию.</w:t>
      </w:r>
    </w:p>
    <w:p w14:paraId="55E08FD0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22FA0358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2. Слой гидроизоляции – наплавляемый материал на битумной основе сваривается пламенем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пропановой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горелки или горячим воздухом с гидроизоляционным «фартуком» корпуса трапа с перехлестом 100-150 мм.</w:t>
      </w:r>
    </w:p>
    <w:p w14:paraId="6C5F0635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147E04C9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lastRenderedPageBreak/>
        <w:t>3. Высота надставного элемента трапа регулируется от 20 до 73 мм (подрезается по высоте стяжки).  При необходимости увеличить высоту применяются удлинители HL340N.</w:t>
      </w:r>
    </w:p>
    <w:p w14:paraId="418A4B4A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71773F87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4. Если диаметр присоединяемой канализационной трубы DN40, то необходимо на отводящем патрубке корпуса трапа отрезать патрубок DN50.</w:t>
      </w:r>
    </w:p>
    <w:p w14:paraId="06CD2298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06B4E123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5. Выпускной патрубок трапа HL510NHR предназначен для соединения с любой канализационной раструбной трубой из ПВХ или ПП (REHAU, WAVIN и т.д.). Если для ливневой канализации применяются стальная или чугунная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безраструбная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труба (SML) DN50, необходимо использовать переходник с ПП/ПВХ на Чугун/Сталь HL9/50.</w:t>
      </w:r>
    </w:p>
    <w:p w14:paraId="642DACDE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</w:p>
    <w:p w14:paraId="474DA07B" w14:textId="77777777" w:rsidR="003D09D1" w:rsidRPr="003D09D1" w:rsidRDefault="003D09D1" w:rsidP="003D09D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6. До завершения монтажных работ, для исключения попадания посторонних предметов в систему канализации, в корпус трапа устанавливается плоский </w:t>
      </w:r>
      <w:proofErr w:type="spellStart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листвоуловитель</w:t>
      </w:r>
      <w:proofErr w:type="spellEnd"/>
      <w:r w:rsidRPr="003D09D1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(идёт в комплекте). Перед установкой надставного элемента,  который подрезается в зависимости от необходимой высоты, он удаляется. В надставной элемент может устанавливаться монтажная заглушка для предотвращения его повреждения или деформации. После завершения монтажных работ в надставной элемент устанавливается сифон, а затем решетка из нержавеющей стали. Монтажные заглушки подлежат утилизации.  </w:t>
      </w:r>
    </w:p>
    <w:p w14:paraId="43D7B78C" w14:textId="77777777" w:rsidR="0075587E" w:rsidRDefault="003D09D1"/>
    <w:sectPr w:rsidR="0075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8E"/>
    <w:rsid w:val="003D09D1"/>
    <w:rsid w:val="00705026"/>
    <w:rsid w:val="007C6A35"/>
    <w:rsid w:val="00A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1ABA-3A3A-4E09-A68B-7D2FE741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Виктория Михайловна</dc:creator>
  <cp:keywords/>
  <dc:description/>
  <cp:lastModifiedBy>Зайцева Виктория Михайловна</cp:lastModifiedBy>
  <cp:revision>2</cp:revision>
  <dcterms:created xsi:type="dcterms:W3CDTF">2021-07-30T07:34:00Z</dcterms:created>
  <dcterms:modified xsi:type="dcterms:W3CDTF">2021-07-30T07:34:00Z</dcterms:modified>
</cp:coreProperties>
</file>